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1" w:type="dxa"/>
        <w:tblInd w:w="709" w:type="dxa"/>
        <w:tblLook w:val="04A0" w:firstRow="1" w:lastRow="0" w:firstColumn="1" w:lastColumn="0" w:noHBand="0" w:noVBand="1"/>
      </w:tblPr>
      <w:tblGrid>
        <w:gridCol w:w="5644"/>
        <w:gridCol w:w="1915"/>
        <w:gridCol w:w="1672"/>
      </w:tblGrid>
      <w:tr w:rsidR="005878FE" w:rsidRPr="005878FE" w14:paraId="725A8862" w14:textId="77777777" w:rsidTr="005878FE">
        <w:trPr>
          <w:trHeight w:val="765"/>
        </w:trPr>
        <w:tc>
          <w:tcPr>
            <w:tcW w:w="9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7E860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Інформація про обсяг придбаної електричної енергії та виробленої з відновлювальних джерел у 2025 році</w:t>
            </w:r>
          </w:p>
        </w:tc>
      </w:tr>
      <w:tr w:rsidR="005878FE" w:rsidRPr="005878FE" w14:paraId="350FEC13" w14:textId="77777777" w:rsidTr="005878FE">
        <w:trPr>
          <w:trHeight w:val="12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0BD1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Джерело енергії, яке було використане для виробництва електроенергії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2047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Обсяги електричної енергії, кВт*год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04FB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Частка у загальній структурі балансу, (%)</w:t>
            </w:r>
          </w:p>
        </w:tc>
      </w:tr>
      <w:tr w:rsidR="005878FE" w:rsidRPr="005878FE" w14:paraId="2A6E5FC4" w14:textId="77777777" w:rsidTr="005878FE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0550B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ВУГЛЕЦЕВІ ДЖЕРЕЛА, у тому числі: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4D0E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344 258 424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E58E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9,01%</w:t>
            </w:r>
          </w:p>
        </w:tc>
      </w:tr>
      <w:tr w:rsidR="005878FE" w:rsidRPr="005878FE" w14:paraId="02D18493" w14:textId="77777777" w:rsidTr="005878FE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9A53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вугілля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3DDD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339 401 091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2DB7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8,88%</w:t>
            </w:r>
          </w:p>
        </w:tc>
      </w:tr>
      <w:tr w:rsidR="005878FE" w:rsidRPr="005878FE" w14:paraId="4CF7805C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ACA2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природний газ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34A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3 335 676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A6D1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0,09%</w:t>
            </w:r>
          </w:p>
        </w:tc>
      </w:tr>
      <w:tr w:rsidR="005878FE" w:rsidRPr="005878FE" w14:paraId="4A269C2F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1A7E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мазут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4225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1 521 657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4E45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0,04%</w:t>
            </w:r>
          </w:p>
        </w:tc>
      </w:tr>
      <w:tr w:rsidR="005878FE" w:rsidRPr="005878FE" w14:paraId="157EB6E7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29F39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БЕЗВУГЛЕЦЕВІ ТА ВУГЛЕЦЕВОНЕЙТРАЛЬНІ ДЖЕРЕЛА, у тому числі: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39FB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3 477 959 866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17B8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90,99%</w:t>
            </w:r>
          </w:p>
        </w:tc>
      </w:tr>
      <w:tr w:rsidR="005878FE" w:rsidRPr="005878FE" w14:paraId="17D04AEB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7337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ядерне паливо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E0C5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2 522 992 909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AC99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66,01%</w:t>
            </w:r>
          </w:p>
        </w:tc>
      </w:tr>
      <w:tr w:rsidR="005878FE" w:rsidRPr="005878FE" w14:paraId="36CFEEC5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CAFA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відновлювальні джерела енергії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95BD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146 492 702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40FC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3,83%</w:t>
            </w:r>
          </w:p>
        </w:tc>
      </w:tr>
      <w:tr w:rsidR="005878FE" w:rsidRPr="005878FE" w14:paraId="2D0A5F55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D2B5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Інші джерела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4D1B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808 474 254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FF77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21,15%</w:t>
            </w:r>
          </w:p>
        </w:tc>
      </w:tr>
      <w:tr w:rsidR="005878FE" w:rsidRPr="005878FE" w14:paraId="1D3B8CB6" w14:textId="77777777" w:rsidTr="005878FE">
        <w:trPr>
          <w:trHeight w:val="3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1753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  <w:t>Сумарний обсяг всіх джерел енергії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7DA8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  <w:t>3 822 218 290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59D9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uk-UA"/>
              </w:rPr>
              <w:t>100,00%</w:t>
            </w:r>
          </w:p>
        </w:tc>
      </w:tr>
      <w:tr w:rsidR="005878FE" w:rsidRPr="005878FE" w14:paraId="7826BA3D" w14:textId="77777777" w:rsidTr="005878FE">
        <w:trPr>
          <w:trHeight w:val="3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E269" w14:textId="77777777" w:rsidR="005878FE" w:rsidRPr="005878FE" w:rsidRDefault="005878FE" w:rsidP="005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Обсяги електричної енергії, підтверджені гарантіями походження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83C7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112 498 000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3486" w14:textId="77777777" w:rsidR="005878FE" w:rsidRPr="005878FE" w:rsidRDefault="005878FE" w:rsidP="005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878FE">
              <w:rPr>
                <w:rFonts w:ascii="Calibri" w:eastAsia="Times New Roman" w:hAnsi="Calibri" w:cs="Calibri"/>
                <w:color w:val="000000"/>
                <w:lang w:val="uk-UA" w:eastAsia="uk-UA"/>
              </w:rPr>
              <w:t>2,94%</w:t>
            </w:r>
          </w:p>
        </w:tc>
      </w:tr>
    </w:tbl>
    <w:p w14:paraId="3211A3D1" w14:textId="5BD6726A" w:rsidR="002C4BA6" w:rsidRPr="00524F05" w:rsidRDefault="002C4BA6" w:rsidP="002C4BA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24F05">
        <w:rPr>
          <w:rStyle w:val="af0"/>
          <w:rFonts w:ascii="Times New Roman" w:hAnsi="Times New Roman" w:cs="Times New Roman"/>
          <w:color w:val="555555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9C65C3E" w14:textId="77777777" w:rsidR="002C4BA6" w:rsidRDefault="002C4BA6" w:rsidP="002C4BA6">
      <w:pPr>
        <w:pStyle w:val="ae"/>
        <w:jc w:val="both"/>
        <w:rPr>
          <w:rFonts w:ascii="Times New Roman" w:hAnsi="Times New Roman" w:cs="Times New Roman"/>
          <w:sz w:val="18"/>
          <w:szCs w:val="16"/>
          <w:lang w:val="uk-UA"/>
        </w:rPr>
      </w:pPr>
    </w:p>
    <w:p w14:paraId="79CDB620" w14:textId="167A070B" w:rsidR="002C4BA6" w:rsidRDefault="005878FE" w:rsidP="002C4BA6">
      <w:pPr>
        <w:pStyle w:val="ae"/>
        <w:ind w:firstLine="709"/>
        <w:jc w:val="both"/>
        <w:rPr>
          <w:rFonts w:ascii="Times New Roman" w:hAnsi="Times New Roman" w:cs="Times New Roman"/>
          <w:sz w:val="18"/>
          <w:szCs w:val="16"/>
          <w:lang w:val="uk-UA"/>
        </w:rPr>
      </w:pPr>
      <w:r>
        <w:rPr>
          <w:noProof/>
          <w14:ligatures w14:val="standardContextual"/>
        </w:rPr>
        <w:drawing>
          <wp:inline distT="0" distB="0" distL="0" distR="0" wp14:anchorId="626CEC90" wp14:editId="3C33BE39">
            <wp:extent cx="5857875" cy="4040505"/>
            <wp:effectExtent l="0" t="0" r="9525" b="17145"/>
            <wp:docPr id="16449534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3D0D046" w14:textId="77777777" w:rsidR="002C4BA6" w:rsidRPr="00EB1B6C" w:rsidRDefault="002C4BA6" w:rsidP="002C4BA6">
      <w:pPr>
        <w:pStyle w:val="ae"/>
        <w:jc w:val="both"/>
        <w:rPr>
          <w:rFonts w:ascii="Times New Roman" w:hAnsi="Times New Roman" w:cs="Times New Roman"/>
          <w:sz w:val="18"/>
          <w:szCs w:val="16"/>
          <w:lang w:val="uk-UA"/>
        </w:rPr>
      </w:pPr>
    </w:p>
    <w:p w14:paraId="5CD307F0" w14:textId="77777777" w:rsidR="002C4BA6" w:rsidRDefault="002C4BA6" w:rsidP="002C4BA6">
      <w:pPr>
        <w:pStyle w:val="ae"/>
        <w:jc w:val="both"/>
        <w:rPr>
          <w:rFonts w:ascii="Times New Roman" w:hAnsi="Times New Roman" w:cs="Times New Roman"/>
          <w:sz w:val="18"/>
          <w:szCs w:val="16"/>
          <w:lang w:val="uk-UA"/>
        </w:rPr>
      </w:pPr>
    </w:p>
    <w:p w14:paraId="26E45B5B" w14:textId="77777777" w:rsidR="002C4BA6" w:rsidRPr="00442FDE" w:rsidRDefault="002C4BA6" w:rsidP="002C4B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З інформацією про вплив на довкілля, спричинений виробництвом електроенергії усіма джерелами енергії, купленої споживачем можна ознайомитися за посиланнями: </w:t>
      </w:r>
      <w:hyperlink r:id="rId5" w:history="1">
        <w:r w:rsidRPr="00442FDE">
          <w:rPr>
            <w:rStyle w:val="af"/>
            <w:rFonts w:ascii="Times New Roman" w:hAnsi="Times New Roman" w:cs="Times New Roman"/>
            <w:sz w:val="24"/>
            <w:szCs w:val="24"/>
          </w:rPr>
          <w:t>https://necu.org.ua/energy/</w:t>
        </w:r>
      </w:hyperlink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" w:history="1">
        <w:r w:rsidRPr="00442FDE">
          <w:rPr>
            <w:rStyle w:val="af"/>
            <w:rFonts w:ascii="Times New Roman" w:hAnsi="Times New Roman" w:cs="Times New Roman"/>
            <w:sz w:val="24"/>
            <w:szCs w:val="24"/>
          </w:rPr>
          <w:t>https://mepr.gov.ua/</w:t>
        </w:r>
      </w:hyperlink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7" w:history="1">
        <w:r w:rsidRPr="00442FDE">
          <w:rPr>
            <w:rStyle w:val="af"/>
            <w:rFonts w:ascii="Times New Roman" w:hAnsi="Times New Roman" w:cs="Times New Roman"/>
            <w:sz w:val="24"/>
            <w:szCs w:val="24"/>
          </w:rPr>
          <w:t>https://atom.org.ua/</w:t>
        </w:r>
      </w:hyperlink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hyperlink r:id="rId8" w:history="1">
        <w:r w:rsidRPr="00442FDE">
          <w:rPr>
            <w:rStyle w:val="af"/>
            <w:rFonts w:ascii="Times New Roman" w:hAnsi="Times New Roman" w:cs="Times New Roman"/>
            <w:sz w:val="24"/>
            <w:szCs w:val="24"/>
          </w:rPr>
          <w:t>http://www.atomforum.org.ua/</w:t>
        </w:r>
      </w:hyperlink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hyperlink r:id="rId9" w:history="1">
        <w:r w:rsidRPr="00442FDE">
          <w:rPr>
            <w:rStyle w:val="af"/>
            <w:rFonts w:ascii="Times New Roman" w:hAnsi="Times New Roman" w:cs="Times New Roman"/>
            <w:sz w:val="24"/>
            <w:szCs w:val="24"/>
          </w:rPr>
          <w:t>https://ukrns.org/</w:t>
        </w:r>
      </w:hyperlink>
      <w:r w:rsidRPr="00442F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48FA734" w14:textId="77777777" w:rsidR="004631DF" w:rsidRDefault="004631DF">
      <w:pPr>
        <w:rPr>
          <w:lang w:val="uk-UA"/>
        </w:rPr>
      </w:pPr>
    </w:p>
    <w:p w14:paraId="5801A4A7" w14:textId="77777777" w:rsidR="002C4BA6" w:rsidRDefault="002C4BA6">
      <w:pPr>
        <w:rPr>
          <w:lang w:val="uk-UA"/>
        </w:rPr>
      </w:pPr>
    </w:p>
    <w:sectPr w:rsidR="002C4BA6" w:rsidSect="002C4BA6">
      <w:pgSz w:w="11907" w:h="16840" w:code="9"/>
      <w:pgMar w:top="720" w:right="70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A6"/>
    <w:rsid w:val="000E287E"/>
    <w:rsid w:val="002156FA"/>
    <w:rsid w:val="00283FF6"/>
    <w:rsid w:val="002C4BA6"/>
    <w:rsid w:val="00331882"/>
    <w:rsid w:val="003C65FB"/>
    <w:rsid w:val="004631DF"/>
    <w:rsid w:val="005878FE"/>
    <w:rsid w:val="006C2FC2"/>
    <w:rsid w:val="007949FF"/>
    <w:rsid w:val="009B0E70"/>
    <w:rsid w:val="00A673DF"/>
    <w:rsid w:val="00B95279"/>
    <w:rsid w:val="00D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3340"/>
  <w15:chartTrackingRefBased/>
  <w15:docId w15:val="{F8B4420A-3A0E-409E-8946-95A4939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A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B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B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B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B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B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B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B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C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B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C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BA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C4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BA6"/>
    <w:pPr>
      <w:spacing w:after="160" w:line="259" w:lineRule="auto"/>
      <w:ind w:left="720"/>
      <w:contextualSpacing/>
    </w:pPr>
    <w:rPr>
      <w:rFonts w:eastAsiaTheme="minorHAns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C4B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C4B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4BA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2C4BA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2C4BA6"/>
    <w:rPr>
      <w:color w:val="0000FF"/>
      <w:u w:val="single"/>
    </w:rPr>
  </w:style>
  <w:style w:type="character" w:styleId="af0">
    <w:name w:val="Emphasis"/>
    <w:basedOn w:val="a0"/>
    <w:uiPriority w:val="20"/>
    <w:qFormat/>
    <w:rsid w:val="002C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forum.org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om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pr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cu.org.ua/energy/" TargetMode="Externa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hyperlink" Target="https://ukrns.org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koec.local\dfs\data\&#1041;&#1102;&#1076;&#1078;&#1077;&#1090;&#1091;&#1074;&#1072;&#1085;&#1085;&#1103;%20&#1090;&#1072;%20&#1053;&#1050;&#1056;&#1045;&#1050;&#1055;\2_&#1047;&#1074;&#1110;&#1090;&#1080;%20&#1053;&#1050;&#1056;&#1045;&#1050;&#1055;\01_&#1044;&#1078;&#1077;&#1088;&#1077;&#1083;&#1072;%20&#1087;&#1086;&#1093;&#1086;&#1076;&#1078;&#1077;&#1085;&#1085;&#1103;%20&#1077;&#1077;%20&#1076;&#1086;%2015%20&#1082;&#1074;&#1110;&#1090;&#1085;&#1103;%20&#1090;&#1072;%20&#1076;&#1086;%2001%20&#1095;&#1077;&#1088;&#1074;&#1085;&#1103;\2025\01_&#1030;&#1085;&#1092;&#1086;&#1088;&#1084;&#1072;&#1094;&#1110;&#1103;%20&#1074;%20&#1088;&#1072;&#1093;&#1091;&#1085;&#1082;&#1091;%20&#1076;&#1086;%2015%20&#1082;&#1074;&#1110;&#1090;&#1085;&#1103;\&#1030;&#1085;&#1092;&#1086;&#1088;&#1084;&#1072;&#1094;&#1110;&#1103;%20&#1085;&#1072;%20&#1089;&#1072;&#1081;&#1090;%20&#1090;&#1072;%20&#1074;%20&#1086;&#1089;&#1086;&#1073;&#1080;&#1089;&#1090;&#1110;%20&#1082;&#1072;&#1073;&#1110;&#1085;&#1077;&#1090;&#1080;%20&#1089;&#1087;&#1086;&#1078;&#1080;&#1074;&#1072;&#1095;&#1110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772649484487747E-2"/>
          <c:y val="8.2251391815672051E-2"/>
          <c:w val="0.58428835269230428"/>
          <c:h val="0.82029772453434358"/>
        </c:manualLayout>
      </c:layout>
      <c:pieChart>
        <c:varyColors val="1"/>
        <c:ser>
          <c:idx val="0"/>
          <c:order val="0"/>
          <c:spPr>
            <a:ln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ln>
            <a:effectLst>
              <a:glow>
                <a:schemeClr val="accent1">
                  <a:alpha val="66000"/>
                </a:schemeClr>
              </a:glow>
              <a:outerShdw blurRad="304800" dir="21540000" algn="ctr" rotWithShape="0">
                <a:srgbClr val="000000">
                  <a:alpha val="81000"/>
                </a:srgbClr>
              </a:outerShdw>
            </a:effectLst>
            <a:scene3d>
              <a:camera prst="orthographicFront"/>
              <a:lightRig rig="threePt" dir="t">
                <a:rot lat="0" lon="0" rev="6600000"/>
              </a:lightRig>
            </a:scene3d>
            <a:sp3d>
              <a:bevelT w="25400" h="107950"/>
              <a:bevelB w="107950" h="120650"/>
            </a:sp3d>
          </c:spPr>
          <c:explosion val="1"/>
          <c:dPt>
            <c:idx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gradFill>
                  <a:gsLst>
                    <a:gs pos="0">
                      <a:schemeClr val="tx1"/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1-9ED2-48CE-8131-D9B9F8B2182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gradFill>
                  <a:gsLst>
                    <a:gs pos="0">
                      <a:srgbClr val="00B0F0"/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3-9ED2-48CE-8131-D9B9F8B21822}"/>
              </c:ext>
            </c:extLst>
          </c:dPt>
          <c:dPt>
            <c:idx val="2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gradFill>
                  <a:gsLst>
                    <a:gs pos="10000">
                      <a:schemeClr val="accent6">
                        <a:alpha val="96000"/>
                        <a:lumMod val="56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5-9ED2-48CE-8131-D9B9F8B21822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7-9ED2-48CE-8131-D9B9F8B21822}"/>
              </c:ext>
            </c:extLst>
          </c:dPt>
          <c:dPt>
            <c:idx val="4"/>
            <c:bubble3D val="0"/>
            <c:spPr>
              <a:solidFill>
                <a:srgbClr val="92D050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9-9ED2-48CE-8131-D9B9F8B21822}"/>
              </c:ext>
            </c:extLst>
          </c:dPt>
          <c:dPt>
            <c:idx val="5"/>
            <c:bubble3D val="0"/>
            <c:spPr>
              <a:solidFill>
                <a:schemeClr val="bg1">
                  <a:lumMod val="75000"/>
                </a:schemeClr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glow>
                  <a:schemeClr val="accent1">
                    <a:alpha val="66000"/>
                  </a:schemeClr>
                </a:glow>
                <a:outerShdw blurRad="304800" dir="21540000" algn="ctr" rotWithShape="0">
                  <a:srgbClr val="000000">
                    <a:alpha val="81000"/>
                  </a:srgbClr>
                </a:outerShdw>
              </a:effectLst>
              <a:scene3d>
                <a:camera prst="orthographicFront"/>
                <a:lightRig rig="threePt" dir="t">
                  <a:rot lat="0" lon="0" rev="6600000"/>
                </a:lightRig>
              </a:scene3d>
              <a:sp3d>
                <a:bevelT w="25400" h="107950"/>
                <a:bevelB w="107950" h="120650"/>
              </a:sp3d>
            </c:spPr>
            <c:extLst>
              <c:ext xmlns:c16="http://schemas.microsoft.com/office/drawing/2014/chart" uri="{C3380CC4-5D6E-409C-BE32-E72D297353CC}">
                <c16:uniqueId val="{0000000B-9ED2-48CE-8131-D9B9F8B218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('На друк'!$A$4:$A$6,'На друк'!$A$8:$A$10)</c:f>
              <c:strCache>
                <c:ptCount val="6"/>
                <c:pt idx="0">
                  <c:v>вугілля </c:v>
                </c:pt>
                <c:pt idx="1">
                  <c:v>природний газ</c:v>
                </c:pt>
                <c:pt idx="2">
                  <c:v>мазут</c:v>
                </c:pt>
                <c:pt idx="3">
                  <c:v>ядерне паливо </c:v>
                </c:pt>
                <c:pt idx="4">
                  <c:v>відновлювальні джерела енергії</c:v>
                </c:pt>
                <c:pt idx="5">
                  <c:v>Інші джерела</c:v>
                </c:pt>
              </c:strCache>
              <c:extLst/>
            </c:strRef>
          </c:cat>
          <c:val>
            <c:numRef>
              <c:f>('На друк'!$C$4:$C$6,'На друк'!$C$8:$C$10)</c:f>
              <c:numCache>
                <c:formatCode>0.00%</c:formatCode>
                <c:ptCount val="6"/>
                <c:pt idx="0">
                  <c:v>8.8800000000000004E-2</c:v>
                </c:pt>
                <c:pt idx="1">
                  <c:v>8.9999999999999998E-4</c:v>
                </c:pt>
                <c:pt idx="2">
                  <c:v>4.0000000000000002E-4</c:v>
                </c:pt>
                <c:pt idx="3">
                  <c:v>0.66010000000000002</c:v>
                </c:pt>
                <c:pt idx="4">
                  <c:v>3.8300000000000001E-2</c:v>
                </c:pt>
                <c:pt idx="5">
                  <c:v>0.21149999999999999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9ED2-48CE-8131-D9B9F8B2182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953369670039265"/>
          <c:y val="5.7361495253026924E-2"/>
          <c:w val="0.30422667284710347"/>
          <c:h val="0.89168017308382197"/>
        </c:manualLayout>
      </c:layout>
      <c:overlay val="0"/>
      <c:spPr>
        <a:solidFill>
          <a:schemeClr val="lt1">
            <a:alpha val="50000"/>
          </a:schemeClr>
        </a:solidFill>
        <a:ln>
          <a:solidFill>
            <a:schemeClr val="accent1">
              <a:alpha val="98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Martuniuk</dc:creator>
  <cp:keywords/>
  <dc:description/>
  <cp:lastModifiedBy>Olena Martuniuk</cp:lastModifiedBy>
  <cp:revision>8</cp:revision>
  <dcterms:created xsi:type="dcterms:W3CDTF">2025-06-04T05:55:00Z</dcterms:created>
  <dcterms:modified xsi:type="dcterms:W3CDTF">2026-04-14T11:26:00Z</dcterms:modified>
</cp:coreProperties>
</file>